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-284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SP ZOZ Szpital Wielospecjalistyczny w Jaworznie</w:t>
      </w:r>
    </w:p>
    <w:p>
      <w:pPr>
        <w:pStyle w:val="Normal"/>
        <w:spacing w:lineRule="auto" w:line="276" w:before="0" w:after="0"/>
        <w:ind w:left="-284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ul. Chełmońskiego 28, 43-600 Jaworzno</w:t>
      </w:r>
    </w:p>
    <w:p>
      <w:pPr>
        <w:pStyle w:val="Normal"/>
        <w:spacing w:lineRule="auto" w:line="276" w:before="0" w:after="0"/>
        <w:ind w:left="-284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NIP 632-17-53-077</w:t>
      </w:r>
    </w:p>
    <w:p>
      <w:pPr>
        <w:pStyle w:val="Normal"/>
        <w:spacing w:lineRule="auto" w:line="276" w:before="0" w:after="0"/>
        <w:ind w:left="-284" w:hanging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</w:r>
    </w:p>
    <w:p>
      <w:pPr>
        <w:pStyle w:val="Normal"/>
        <w:spacing w:lineRule="auto" w:line="276" w:before="0" w:after="0"/>
        <w:ind w:left="-284" w:hanging="0"/>
        <w:rPr/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Apteka Szpitalna 3/ZO/2026                                                                                                             Jaworzno, 21.04.2026r.</w:t>
      </w:r>
    </w:p>
    <w:p>
      <w:pPr>
        <w:pStyle w:val="Normal"/>
        <w:spacing w:lineRule="auto" w:line="276" w:before="0" w:after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</w:r>
    </w:p>
    <w:p>
      <w:pPr>
        <w:pStyle w:val="Normal"/>
        <w:spacing w:lineRule="auto" w:line="276" w:before="0" w:after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Dotyczy, zaproszenia do składania ofert: 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„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Zakup preparatów dezynfekcyjnych dla SP ZOZ Szpitala Wielospecjalistycznego w Jaworznie”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r>
    </w:p>
    <w:p>
      <w:pPr>
        <w:pStyle w:val="Western"/>
        <w:spacing w:lineRule="auto" w:line="276" w:beforeAutospacing="0" w:before="0" w:after="0"/>
        <w:ind w:left="-284" w:hanging="0"/>
        <w:jc w:val="center"/>
        <w:rPr/>
      </w:pPr>
      <w:r>
        <w:rPr>
          <w:rFonts w:ascii="Calibri" w:hAnsi="Calibri"/>
          <w:b/>
          <w:bCs/>
          <w:i w:val="false"/>
          <w:iCs w:val="false"/>
          <w:sz w:val="22"/>
          <w:szCs w:val="22"/>
          <w:u w:val="none"/>
        </w:rPr>
        <w:t xml:space="preserve">Odpowiedzi na pytania  4 </w:t>
      </w:r>
    </w:p>
    <w:p>
      <w:pPr>
        <w:pStyle w:val="Western"/>
        <w:spacing w:lineRule="auto" w:line="276" w:beforeAutospacing="0" w:before="0" w:after="0"/>
        <w:ind w:left="-284" w:hanging="0"/>
        <w:jc w:val="center"/>
        <w:rPr>
          <w:rFonts w:ascii="Calibri" w:hAnsi="Calibri" w:eastAsia="Times New Roman" w:cs="Arial Narrow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lang w:eastAsia="pl-PL"/>
        </w:rPr>
      </w:pPr>
      <w:r>
        <w:rPr>
          <w:rFonts w:eastAsia="Times New Roman" w:cs="Arial Narrow" w:ascii="Calibri" w:hAnsi="Calibri"/>
          <w:b w:val="false"/>
          <w:bCs w:val="false"/>
          <w:i/>
          <w:iCs/>
          <w:color w:val="000000"/>
          <w:sz w:val="22"/>
          <w:szCs w:val="22"/>
          <w:u w:val="none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Arial Narrow"/>
          <w:b/>
          <w:b/>
          <w:bCs/>
          <w:i/>
          <w:i/>
          <w:iCs/>
          <w:color w:val="000000"/>
          <w:lang w:eastAsia="pl-PL"/>
        </w:rPr>
      </w:pPr>
      <w:r>
        <w:rPr>
          <w:rFonts w:eastAsia="Times New Roman" w:cs="Arial Narrow"/>
          <w:b/>
          <w:bCs/>
          <w:i/>
          <w:iCs/>
          <w:color w:val="00000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Arial Narrow"/>
          <w:b/>
          <w:b/>
          <w:bCs/>
          <w:i/>
          <w:i/>
          <w:iCs/>
          <w:color w:val="000000"/>
          <w:lang w:eastAsia="pl-PL"/>
        </w:rPr>
      </w:pPr>
      <w:r>
        <w:rPr>
          <w:rFonts w:eastAsia="Times New Roman" w:cs="Arial Narrow"/>
          <w:b/>
          <w:bCs/>
          <w:i/>
          <w:iCs/>
          <w:color w:val="000000"/>
          <w:lang w:eastAsia="pl-PL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>I. Wykonawca nr 2 pyt. 2</w:t>
      </w:r>
    </w:p>
    <w:p>
      <w:pPr>
        <w:pStyle w:val="Normal"/>
        <w:spacing w:lineRule="auto" w:line="276" w:before="0" w:after="0"/>
        <w:rPr>
          <w:rFonts w:eastAsia="Times New Roman" w:cs="Times New Roman"/>
          <w:b/>
          <w:b/>
          <w:bCs/>
          <w:color w:val="000000"/>
          <w:u w:val="single"/>
          <w:lang w:eastAsia="pl-PL"/>
        </w:rPr>
      </w:pPr>
      <w:r>
        <w:rPr>
          <w:rFonts w:eastAsia="Times New Roman" w:cs="Times New Roman"/>
          <w:b/>
          <w:bCs/>
          <w:color w:val="000000"/>
          <w:u w:val="single"/>
          <w:lang w:eastAsia="pl-PL"/>
        </w:rPr>
      </w:r>
    </w:p>
    <w:p>
      <w:pPr>
        <w:pStyle w:val="Normal"/>
        <w:spacing w:lineRule="auto" w:line="276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Dotyczy Pakietu nr 1: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>
          <w:rFonts w:cs="Cambria" w:ascii="Cambria" w:hAnsi="Cambria"/>
          <w:bCs/>
          <w:sz w:val="24"/>
          <w:szCs w:val="24"/>
        </w:rPr>
        <w:t>Dotyczy poz. 1 - Zwracamy się z prośbą o dopuszczenie do oceny preparat na bazie etanolu i propan-2-olu oraz 0,2g alkilobiguanidu, o spektrum działania: B, F (C.albicans), Tbc ( M.terrae ), V ( HIV, HBV, HCV, Vaccinia, Noro ) - w czasie działania bójczego do 5 minut, wyrób medyczny?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bookmarkStart w:id="0" w:name="__DdeLink__352_561036085"/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eastAsia="pl-PL"/>
        </w:rPr>
        <w:t xml:space="preserve">Odpowiedź: </w:t>
      </w: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  <w:t>Zamawiający dopuszcza, ale nie wymaga.</w:t>
      </w:r>
      <w:bookmarkEnd w:id="0"/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Arial Narrow"/>
          <w:b/>
          <w:b/>
          <w:bCs/>
          <w:i/>
          <w:i/>
          <w:iCs/>
          <w:color w:val="000000"/>
          <w:sz w:val="22"/>
          <w:szCs w:val="22"/>
          <w:u w:val="none"/>
          <w:lang w:eastAsia="pl-PL"/>
        </w:rPr>
      </w:pP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>
          <w:rFonts w:cs="Cambria" w:ascii="Cambria" w:hAnsi="Cambria"/>
          <w:bCs/>
          <w:sz w:val="24"/>
          <w:szCs w:val="24"/>
        </w:rPr>
        <w:t>Dotyczy poz. 2 - Czy Zamawiający dopuści do oceny preparat do higienicznej i chirurgicznej dezynfekcji rąk, w postaci żelu w składzie  etanol  72g/100g,  izopropanol – 1,92 g/100g , substancje nawilżające – emolient (alkohol mirystylowy), humektant (gliceryna),  bez zawartości barwników oraz substancji zapachowych, testowany dermatologicznie,  o spektrum biobójczym – B, Tbc (m. terrae, m.avium), F  oraz wirusobójcze (Polio, Adeno, Noro) – 30 sek. Dodatkowe działanie wobec wirusów: HIV, HBV, HCV (BVDV), Vaccinia (Corona), Rota, Herpes, A H1N1, A H5N1 – 15 sek,?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eastAsia="pl-PL"/>
        </w:rPr>
        <w:t xml:space="preserve">Odpowiedź: </w:t>
      </w: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  <w:t>Zamawiający dopuszcza, ale nie wymaga.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Arial Narrow"/>
          <w:b/>
          <w:b/>
          <w:bCs/>
          <w:i/>
          <w:i/>
          <w:iCs/>
          <w:color w:val="000000"/>
          <w:sz w:val="22"/>
          <w:szCs w:val="22"/>
          <w:u w:val="none"/>
          <w:lang w:eastAsia="pl-PL"/>
        </w:rPr>
      </w:pP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>
          <w:rFonts w:cs="Cambria" w:ascii="Cambria" w:hAnsi="Cambria"/>
          <w:bCs/>
          <w:sz w:val="24"/>
          <w:szCs w:val="24"/>
        </w:rPr>
        <w:t>Dotyczy poz. 4 - Zwracamy się z prośbą o dopuszczenie do oceny preparatu AHD 1000, na bazie etanolu 79,9g, w płynie do higienicznej i chirurgicznej dezynfekcji rąk z dodatkiem kwasu mlekowego oraz glicerolu, chroniącego skórę przed wysuszeniem. Przebadany zgodnie z normą EN 1500 oraz EN 12791. Spektrum biobójcze: bakterie, prątki, grzyby, drożdżaki, wirusy ( Polio - 1 min. Adeno, Noro - 30 sek. oraz dodatkowo wirusy: HIV/HBV/HCV, Vaccinia, HSV, AH1N1, Rota - 30 sek. ), spełniający pozostałe wymagania opisu?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eastAsia="pl-PL"/>
        </w:rPr>
        <w:t xml:space="preserve">Odpowiedź: </w:t>
      </w: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  <w:t>Zamawiający dopuszcza, ale nie wymaga.</w:t>
      </w:r>
    </w:p>
    <w:p>
      <w:pPr>
        <w:pStyle w:val="Normal"/>
        <w:spacing w:lineRule="auto" w:line="276"/>
        <w:ind w:left="720" w:right="0" w:hanging="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Dotyczy Pakietu nr 4: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rFonts w:cs="Cambria" w:ascii="Cambria" w:hAnsi="Cambria"/>
          <w:bCs/>
          <w:sz w:val="24"/>
          <w:szCs w:val="24"/>
        </w:rPr>
        <w:t>Dotyczy poz. 1 – Czy Zamawiający dopuści preparat do sterylizacji i dezynfekcji wysokiego poziomu, gotowy do użycia, o szybkim działaniu do dezynfekcji endoskopów giętkich, na bazie kwasu nadoctowego, nadtlenku wodoru i kwasu octowego, spektrum B, F, V, Tbc, S  - zgodnie z normą EN17126 - szybki czas działania - 5 min; aktywny do 15 dni?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eastAsia="pl-PL"/>
        </w:rPr>
        <w:t xml:space="preserve">Odpowiedź: </w:t>
      </w: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  <w:t>Zamawiający dopuszcza, ale nie wymaga.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rFonts w:cs="Cambria" w:ascii="Cambria" w:hAnsi="Cambria"/>
          <w:bCs/>
          <w:sz w:val="24"/>
          <w:szCs w:val="24"/>
        </w:rPr>
        <w:t>Dotyczy poz. 2 - Czy Zamawiający, działając na podstawie art. 99 ust. 5 ustawy Pzp (zasada równoważności), dopuści jako produkt równoważny preparat MediSoap Neutral Soap, który jest łagodnym środkiem myjącym o neutralnym pH (ok. 5,5), przeznaczonym do częstego stosowania, zapewniającym skuteczne i bezpieczne dla skóry mycie rąk, mimo że producent nie deklaruje wprost zawartości alkilopoliglukozydów (APG) w składzie? W naszej ocenie wskazany produkt spełnia wymagania funkcjonalne i użytkowe określone przez Zamawiającego, tj. zapewnia łagodne, skuteczne mycie rąk, minimalizując ryzyko podrażnień skóry, co odpowiada celowi zastosowania preparatów opartych na APG.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eastAsia="pl-PL"/>
        </w:rPr>
        <w:t xml:space="preserve">Odpowiedź: </w:t>
      </w: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  <w:t xml:space="preserve">Zamawiający </w:t>
      </w: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  <w:t>nie dopuszcza.</w:t>
      </w:r>
    </w:p>
    <w:p>
      <w:pPr>
        <w:pStyle w:val="Normal"/>
        <w:spacing w:lineRule="auto" w:line="276"/>
        <w:jc w:val="both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Dotyczy pakietu 8: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u w:val="none"/>
          <w:lang w:eastAsia="pl-PL"/>
        </w:rPr>
        <w:t>Dotyczy poz. 1 (</w:t>
      </w:r>
      <w:r>
        <w:rPr>
          <w:rFonts w:eastAsia="Times New Roman" w:cs="Cambria" w:ascii="Cambria" w:hAnsi="Cambria"/>
          <w:b/>
          <w:bCs/>
          <w:color w:val="000000"/>
          <w:sz w:val="24"/>
          <w:szCs w:val="24"/>
          <w:u w:val="none"/>
          <w:lang w:eastAsia="pl-PL"/>
        </w:rPr>
        <w:t>w przetargu Detro Enzym</w:t>
      </w: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u w:val="none"/>
          <w:lang w:eastAsia="pl-PL"/>
        </w:rPr>
        <w:t>) – Czy Zamawiający dopuści do oceny preparat o pH 8-9, spełniający pozostałe wymagania SWZ?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eastAsia="pl-PL"/>
        </w:rPr>
        <w:t xml:space="preserve">Odpowiedź : </w:t>
      </w: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  <w:lang w:eastAsia="pl-PL"/>
        </w:rPr>
        <w:t>Zamawiający dopuszcza.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spacing w:lineRule="auto" w:line="276" w:before="0" w:after="0"/>
        <w:rPr/>
      </w:pPr>
      <w:r>
        <w:rPr/>
      </w:r>
    </w:p>
    <w:sectPr>
      <w:type w:val="nextPage"/>
      <w:pgSz w:w="11906" w:h="16838"/>
      <w:pgMar w:left="720" w:right="720" w:header="0" w:top="284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bCs/>
        <w:rFonts w:cs="Cambr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64275"/>
    <w:rPr/>
  </w:style>
  <w:style w:type="character" w:styleId="StopkaZnak" w:customStyle="1">
    <w:name w:val="Stopka Znak"/>
    <w:basedOn w:val="DefaultParagraphFont"/>
    <w:uiPriority w:val="99"/>
    <w:qFormat/>
    <w:rsid w:val="00d64275"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>
      <w:rFonts w:ascii="Cambria" w:hAnsi="Cambria" w:cs="Arial"/>
      <w:sz w:val="24"/>
      <w:szCs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">
    <w:name w:val="ListLabel 1"/>
    <w:qFormat/>
    <w:rPr>
      <w:rFonts w:ascii="Calibri" w:hAnsi="Calibri" w:cs="Arial"/>
      <w:b w:val="false"/>
      <w:sz w:val="22"/>
      <w:szCs w:val="24"/>
    </w:rPr>
  </w:style>
  <w:style w:type="character" w:styleId="WW8Num1z0">
    <w:name w:val="WW8Num1z0"/>
    <w:qFormat/>
    <w:rPr>
      <w:rFonts w:ascii="Cambria" w:hAnsi="Cambria" w:cs="Arial"/>
      <w:sz w:val="24"/>
      <w:szCs w:val="24"/>
    </w:rPr>
  </w:style>
  <w:style w:type="character" w:styleId="WW8Num2z0">
    <w:name w:val="WW8Num2z0"/>
    <w:qFormat/>
    <w:rPr>
      <w:rFonts w:ascii="Cambria" w:hAnsi="Cambria" w:cs="Cambria"/>
      <w:bCs/>
      <w:sz w:val="24"/>
      <w:szCs w:val="24"/>
    </w:rPr>
  </w:style>
  <w:style w:type="character" w:styleId="ListLabel2">
    <w:name w:val="ListLabel 2"/>
    <w:qFormat/>
    <w:rPr>
      <w:rFonts w:cs="Arial"/>
      <w:sz w:val="24"/>
      <w:szCs w:val="24"/>
    </w:rPr>
  </w:style>
  <w:style w:type="character" w:styleId="ListLabel3">
    <w:name w:val="ListLabel 3"/>
    <w:qFormat/>
    <w:rPr>
      <w:rFonts w:cs="Cambria"/>
      <w:bCs/>
      <w:sz w:val="24"/>
      <w:szCs w:val="24"/>
    </w:rPr>
  </w:style>
  <w:style w:type="character" w:styleId="ListLabel4">
    <w:name w:val="ListLabel 4"/>
    <w:qFormat/>
    <w:rPr>
      <w:rFonts w:cs="Arial"/>
      <w:sz w:val="24"/>
      <w:szCs w:val="24"/>
    </w:rPr>
  </w:style>
  <w:style w:type="character" w:styleId="ListLabel5">
    <w:name w:val="ListLabel 5"/>
    <w:qFormat/>
    <w:rPr>
      <w:rFonts w:cs="Cambria"/>
      <w:bCs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6427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142065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d6427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LibreOffice/6.0.1.1$Windows_X86_64 LibreOffice_project/60bfb1526849283ce2491346ed2aa51c465abfe6</Application>
  <Pages>2</Pages>
  <Words>464</Words>
  <Characters>2722</Characters>
  <CharactersWithSpaces>3277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2022-07-13T11:56:00Z</dcterms:created>
  <dc:creator>Kadry</dc:creator>
  <dc:description/>
  <dc:language>pl-PL</dc:language>
  <cp:lastModifiedBy/>
  <cp:lastPrinted>2025-05-06T08:56:00Z</cp:lastPrinted>
  <dcterms:modified xsi:type="dcterms:W3CDTF">2026-04-22T07:04:54Z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